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4" w:rsidRDefault="00FE5A94" w:rsidP="00FE5A94">
      <w:pPr>
        <w:spacing w:after="200" w:line="276" w:lineRule="auto"/>
        <w:jc w:val="center"/>
        <w:rPr>
          <w:rFonts w:ascii="TradeGothicLTStd-BdCn20" w:eastAsiaTheme="minorHAnsi" w:hAnsi="TradeGothicLTStd-BdCn20" w:cs="TradeGothicLTStd-BdCn20"/>
          <w:color w:val="0778B4"/>
          <w:sz w:val="18"/>
          <w:szCs w:val="18"/>
        </w:rPr>
      </w:pPr>
      <w:r w:rsidRPr="00D70E46">
        <w:rPr>
          <w:rFonts w:ascii="TradeGothicLTStd-BdCn20" w:eastAsiaTheme="minorHAnsi" w:hAnsi="TradeGothicLTStd-BdCn20" w:cs="TradeGothicLTStd-BdCn20"/>
          <w:color w:val="0778B4"/>
          <w:sz w:val="18"/>
          <w:szCs w:val="18"/>
        </w:rPr>
        <w:t>Booragul PS - Context and Text Requirements</w:t>
      </w:r>
    </w:p>
    <w:p w:rsidR="00FE5A94" w:rsidRPr="008C1920" w:rsidRDefault="00FE5A94" w:rsidP="00FE5A94">
      <w:pPr>
        <w:spacing w:after="200" w:line="276" w:lineRule="auto"/>
        <w:jc w:val="center"/>
        <w:rPr>
          <w:rFonts w:ascii="TradeGothicLTStd-BdCn20" w:eastAsiaTheme="minorHAnsi" w:hAnsi="TradeGothicLTStd-BdCn20" w:cs="TradeGothicLTStd-BdCn20"/>
          <w:b/>
          <w:color w:val="0778B4"/>
          <w:sz w:val="18"/>
          <w:szCs w:val="18"/>
          <w:u w:val="single"/>
        </w:rPr>
      </w:pPr>
      <w:r w:rsidRPr="00D70E46">
        <w:rPr>
          <w:rFonts w:ascii="TradeGothicLTStd-BdCn20" w:eastAsiaTheme="minorHAnsi" w:hAnsi="TradeGothicLTStd-BdCn20" w:cs="TradeGothicLTStd-BdCn20"/>
          <w:color w:val="0778B4"/>
          <w:sz w:val="18"/>
          <w:szCs w:val="18"/>
        </w:rPr>
        <w:t xml:space="preserve"> </w:t>
      </w:r>
      <w:r w:rsidRPr="008C1920">
        <w:rPr>
          <w:rFonts w:ascii="TradeGothicLTStd-BdCn20" w:eastAsiaTheme="minorHAnsi" w:hAnsi="TradeGothicLTStd-BdCn20" w:cs="TradeGothicLTStd-BdCn20"/>
          <w:b/>
          <w:color w:val="0778B4"/>
          <w:sz w:val="18"/>
          <w:szCs w:val="18"/>
          <w:u w:val="single"/>
        </w:rPr>
        <w:t>EVEN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81"/>
        <w:gridCol w:w="1595"/>
        <w:gridCol w:w="184"/>
        <w:gridCol w:w="1411"/>
        <w:gridCol w:w="1596"/>
        <w:gridCol w:w="679"/>
        <w:gridCol w:w="916"/>
        <w:gridCol w:w="1595"/>
        <w:gridCol w:w="1174"/>
        <w:gridCol w:w="705"/>
        <w:gridCol w:w="2556"/>
      </w:tblGrid>
      <w:tr w:rsidR="00FE5A94" w:rsidRPr="00D70E46" w:rsidTr="006101C7">
        <w:tc>
          <w:tcPr>
            <w:tcW w:w="15418" w:type="dxa"/>
            <w:gridSpan w:val="12"/>
            <w:shd w:val="clear" w:color="auto" w:fill="B8CCE4" w:themeFill="accent1" w:themeFillTint="66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  <w:shd w:val="clear" w:color="auto" w:fill="B8CCE4" w:themeFill="accent1" w:themeFillTint="66"/>
              </w:rPr>
              <w:t xml:space="preserve">Stage:     1                            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           Year:  2014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Term 1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Term 2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Term 3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Term 4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Concept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Focus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Imagery 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Characterisation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Interconnectedness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Representation / Symbolism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Imagery is the author’s use of language that appeals to the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five senses </w:t>
            </w: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in order to help the reader visualise exactly what is being described.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Characterisation is the act of describing distinctive characteristics or essential features.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Interconnectedness is the connection the author makes between text and emotions. 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spoken texts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Audio -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The Story of Ping</w:t>
            </w: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  <w:r w:rsidRPr="00D70E46"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  <w:fldChar w:fldCharType="begin"/>
            </w:r>
            <w:r w:rsidRPr="00D70E46"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  <w:instrText xml:space="preserve"> HYPERLINK "http://www.youtube.com/watch?v=cFIGlz4TGLA" </w:instrText>
            </w:r>
            <w:r w:rsidRPr="00D70E46"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  <w:fldChar w:fldCharType="separate"/>
            </w:r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http://www.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proofErr w:type="spellStart"/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youtubube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.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com/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watch?v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=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 xml:space="preserve">cFIGlz4TGLA   </w:t>
            </w:r>
            <w:r w:rsidRPr="00D70E46"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  <w:fldChar w:fldCharType="end"/>
            </w:r>
            <w:r w:rsidRPr="00D70E46">
              <w:rPr>
                <w:rFonts w:asciiTheme="minorHAnsi" w:eastAsiaTheme="minorHAnsi" w:hAnsiTheme="minorHAnsi" w:cstheme="minorBidi"/>
                <w:color w:val="1F497D" w:themeColor="text2"/>
                <w:sz w:val="16"/>
                <w:szCs w:val="16"/>
              </w:rPr>
              <w:t xml:space="preserve"> 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Poem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“My Dog”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(Emily Lewis)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English/Japanese Song –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Twinkle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Twinkle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Little Star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  <w:t>https://www.youtube.com/watch?v=BIxxw06YhlE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N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Poem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“Disobedience”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(A.A Milne)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P</w:t>
            </w:r>
          </w:p>
        </w:tc>
      </w:tr>
      <w:tr w:rsidR="00FE5A94" w:rsidRPr="00D70E46" w:rsidTr="006101C7">
        <w:trPr>
          <w:trHeight w:val="925"/>
        </w:trPr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print texts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sz w:val="16"/>
                <w:szCs w:val="16"/>
              </w:rPr>
            </w:pP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The Elves and the Shoemaker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Traditional Tale          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 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  N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Rose meets Mr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Wintergarten</w:t>
            </w:r>
            <w:proofErr w:type="spellEnd"/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(Bob Graham)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Where the Wild Things Are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(Maurice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Sendak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  <w:t>The Three Pigs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</w:t>
            </w:r>
            <w:hyperlink r:id="rId5" w:tooltip="David Wiesner" w:history="1">
              <w:r w:rsidRPr="00D70E46">
                <w:rPr>
                  <w:rFonts w:asciiTheme="minorHAnsi" w:eastAsiaTheme="minorHAnsi" w:hAnsiTheme="minorHAnsi" w:cstheme="minorBidi"/>
                  <w:sz w:val="16"/>
                  <w:szCs w:val="16"/>
                </w:rPr>
                <w:t xml:space="preserve">David </w:t>
              </w:r>
              <w:proofErr w:type="spellStart"/>
              <w:r w:rsidRPr="00D70E46">
                <w:rPr>
                  <w:rFonts w:asciiTheme="minorHAnsi" w:eastAsiaTheme="minorHAnsi" w:hAnsiTheme="minorHAnsi" w:cstheme="minorBidi"/>
                  <w:sz w:val="16"/>
                  <w:szCs w:val="16"/>
                </w:rPr>
                <w:t>Wiesner</w:t>
              </w:r>
              <w:proofErr w:type="spellEnd"/>
            </w:hyperlink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visual texts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How to make a paper aeroplane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</w:rPr>
            </w:pPr>
            <w:hyperlink r:id="rId6" w:history="1">
              <w:r w:rsidRPr="00D70E46">
                <w:rPr>
                  <w:rFonts w:asciiTheme="minorHAnsi" w:eastAsiaTheme="minorHAnsi" w:hAnsiTheme="minorHAnsi" w:cstheme="minorBidi"/>
                  <w:color w:val="0083A9"/>
                  <w:sz w:val="16"/>
                  <w:szCs w:val="16"/>
                  <w:u w:val="single" w:color="0083A9"/>
                </w:rPr>
                <w:t>https://www.youtube.com/watch?v=I0a0p8ygfQM</w:t>
              </w:r>
            </w:hyperlink>
            <w:r w:rsidRPr="00D70E46"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</w:rPr>
              <w:t xml:space="preserve">                            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N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Wolf Spider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(PM Writing Teaching Exemplars)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N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The Jolly Postman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 xml:space="preserve">(Janet and Allan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>Ahlberg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 xml:space="preserve">)    </w:t>
            </w:r>
            <w:r w:rsidRPr="00D70E46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</w:rPr>
              <w:t>N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</w:pP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</w:rPr>
              <w:t xml:space="preserve">Father’s Day </w:t>
            </w:r>
            <w:r w:rsidRPr="00D70E46">
              <w:rPr>
                <w:rFonts w:asciiTheme="minorHAnsi" w:eastAsiaTheme="minorHAnsi" w:hAnsiTheme="minorHAnsi" w:cstheme="minorBidi"/>
                <w:bCs/>
                <w:sz w:val="16"/>
                <w:szCs w:val="16"/>
              </w:rPr>
              <w:t xml:space="preserve">Target Catalogue    </w:t>
            </w:r>
            <w:r w:rsidRPr="00D70E46"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Go 4 Fun Brochure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P N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appropriate range of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digital texts,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including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film, media, multimedia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Aboriginal Dreamtime - </w:t>
            </w: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How the birds got their colour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hyperlink r:id="rId7" w:history="1">
              <w:r w:rsidRPr="00D70E46">
                <w:rPr>
                  <w:rFonts w:asciiTheme="minorHAnsi" w:eastAsiaTheme="minorHAnsi" w:hAnsiTheme="minorHAnsi" w:cstheme="minorBidi"/>
                  <w:color w:val="0083A9"/>
                  <w:sz w:val="16"/>
                  <w:szCs w:val="16"/>
                  <w:u w:val="single" w:color="0083A9"/>
                </w:rPr>
                <w:t>http://www.youtube.com/watch?v=Mda6CnUTX4U&amp;feature=player_embedded</w:t>
              </w:r>
            </w:hyperlink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  N</w:t>
            </w:r>
          </w:p>
        </w:tc>
        <w:tc>
          <w:tcPr>
            <w:tcW w:w="3686" w:type="dxa"/>
            <w:gridSpan w:val="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Toy Story 3</w:t>
            </w: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  N</w:t>
            </w: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The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Sygna</w:t>
            </w:r>
            <w:proofErr w:type="spellEnd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 Shipwreck - Stockton Beach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color w:val="0083A9"/>
                <w:sz w:val="16"/>
                <w:szCs w:val="16"/>
                <w:u w:val="single" w:color="0083A9"/>
              </w:rPr>
            </w:pPr>
            <w:hyperlink r:id="rId8" w:history="1">
              <w:r w:rsidRPr="00D70E46">
                <w:rPr>
                  <w:rFonts w:asciiTheme="minorHAnsi" w:eastAsiaTheme="minorHAnsi" w:hAnsiTheme="minorHAnsi" w:cstheme="minorBidi"/>
                  <w:color w:val="0083A9"/>
                  <w:sz w:val="16"/>
                  <w:szCs w:val="16"/>
                  <w:u w:val="single" w:color="0083A9"/>
                </w:rPr>
                <w:t>http://www.youtube.com/watch?v=_tNsS6onnvg</w:t>
              </w:r>
            </w:hyperlink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N</w:t>
            </w:r>
          </w:p>
        </w:tc>
        <w:tc>
          <w:tcPr>
            <w:tcW w:w="3261" w:type="dxa"/>
            <w:gridSpan w:val="2"/>
          </w:tcPr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 xml:space="preserve">The </w:t>
            </w:r>
            <w:proofErr w:type="spellStart"/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Gruffalo</w:t>
            </w:r>
            <w:proofErr w:type="spellEnd"/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>(Julia Donaldson)</w:t>
            </w:r>
          </w:p>
          <w:p w:rsidR="00FE5A94" w:rsidRPr="00D70E46" w:rsidRDefault="00FE5A94" w:rsidP="006101C7">
            <w:pPr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</w:p>
          <w:p w:rsidR="00FE5A94" w:rsidRPr="00D70E46" w:rsidRDefault="00FE5A94" w:rsidP="006101C7">
            <w:pPr>
              <w:jc w:val="right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M</w:t>
            </w:r>
          </w:p>
        </w:tc>
      </w:tr>
      <w:tr w:rsidR="00FE5A94" w:rsidRPr="00D70E46" w:rsidTr="006101C7">
        <w:tc>
          <w:tcPr>
            <w:tcW w:w="1526" w:type="dxa"/>
          </w:tcPr>
          <w:p w:rsidR="00FE5A94" w:rsidRPr="00D70E46" w:rsidRDefault="00FE5A94" w:rsidP="006101C7">
            <w:pPr>
              <w:rPr>
                <w:rFonts w:ascii="ArialMT" w:eastAsiaTheme="minorHAnsi" w:hAnsi="ArialMT" w:cs="ArialMT"/>
                <w:sz w:val="16"/>
                <w:szCs w:val="16"/>
              </w:rPr>
            </w:pPr>
          </w:p>
        </w:tc>
        <w:tc>
          <w:tcPr>
            <w:tcW w:w="13892" w:type="dxa"/>
            <w:gridSpan w:val="11"/>
          </w:tcPr>
          <w:p w:rsidR="00FE5A94" w:rsidRPr="00D70E46" w:rsidRDefault="00FE5A94" w:rsidP="006101C7">
            <w:pPr>
              <w:jc w:val="center"/>
              <w:rPr>
                <w:rFonts w:ascii="ArialMT" w:eastAsiaTheme="minorHAnsi" w:hAnsi="ArialMT" w:cs="ArialMT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Across a stage of learning, the selection of texts </w:t>
            </w:r>
            <w:r w:rsidRPr="00D70E46">
              <w:rPr>
                <w:rFonts w:ascii="Arial-BoldMT" w:eastAsiaTheme="minorHAnsi" w:hAnsi="Arial-BoldMT" w:cs="Arial-BoldMT"/>
                <w:b/>
                <w:bCs/>
                <w:sz w:val="16"/>
                <w:szCs w:val="16"/>
              </w:rPr>
              <w:t xml:space="preserve">must 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>give students experience of:</w:t>
            </w:r>
          </w:p>
        </w:tc>
      </w:tr>
      <w:tr w:rsidR="00FE5A94" w:rsidRPr="00D70E46" w:rsidTr="006101C7">
        <w:trPr>
          <w:trHeight w:val="596"/>
        </w:trPr>
        <w:tc>
          <w:tcPr>
            <w:tcW w:w="1526" w:type="dxa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1481" w:type="dxa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texts which are widely regarded as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quality literature</w:t>
            </w:r>
          </w:p>
        </w:tc>
        <w:tc>
          <w:tcPr>
            <w:tcW w:w="1595" w:type="dxa"/>
          </w:tcPr>
          <w:p w:rsidR="00FE5A94" w:rsidRPr="00D70E46" w:rsidRDefault="00FE5A94" w:rsidP="006101C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 widely defined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Australian literature,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including texts that give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insights into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Aboriginal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experiences in Australia</w:t>
            </w:r>
          </w:p>
          <w:p w:rsidR="00FE5A94" w:rsidRPr="00D70E46" w:rsidRDefault="00FE5A94" w:rsidP="006101C7">
            <w:pPr>
              <w:rPr>
                <w:rFonts w:ascii="ArialMT" w:eastAsiaTheme="minorHAnsi" w:hAnsi="ArialMT" w:cs="ArialMT"/>
                <w:b/>
                <w:sz w:val="16"/>
                <w:szCs w:val="16"/>
              </w:rPr>
            </w:pPr>
          </w:p>
        </w:tc>
        <w:tc>
          <w:tcPr>
            <w:tcW w:w="1595" w:type="dxa"/>
            <w:gridSpan w:val="2"/>
          </w:tcPr>
          <w:p w:rsidR="00FE5A94" w:rsidRPr="00D70E46" w:rsidRDefault="00FE5A94" w:rsidP="006101C7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 wide range of literary texts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from other countries and times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including poetry, drama scripts,</w:t>
            </w:r>
          </w:p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>prose fiction and picture books</w:t>
            </w:r>
            <w:r w:rsidRPr="00D70E46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texts written about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5" w:type="dxa"/>
            <w:gridSpan w:val="2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texts that provide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5" w:type="dxa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everyday</w:t>
            </w:r>
            <w:proofErr w:type="spellEnd"/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 xml:space="preserve"> and community texts</w:t>
            </w:r>
          </w:p>
        </w:tc>
        <w:tc>
          <w:tcPr>
            <w:tcW w:w="1879" w:type="dxa"/>
            <w:gridSpan w:val="2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 wide range of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factual texts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6" w:type="dxa"/>
          </w:tcPr>
          <w:p w:rsidR="00FE5A94" w:rsidRPr="00D70E46" w:rsidRDefault="00FE5A94" w:rsidP="006101C7">
            <w:pPr>
              <w:rPr>
                <w:rFonts w:asciiTheme="minorHAnsi" w:eastAsiaTheme="minorHAnsi" w:hAnsiTheme="minorHAnsi" w:cstheme="minorBidi"/>
                <w:sz w:val="14"/>
                <w:szCs w:val="14"/>
              </w:rPr>
            </w:pPr>
            <w:r w:rsidRPr="00D70E46">
              <w:rPr>
                <w:rFonts w:ascii="ArialMT" w:eastAsiaTheme="minorHAnsi" w:hAnsi="ArialMT" w:cs="ArialMT"/>
                <w:sz w:val="14"/>
                <w:szCs w:val="14"/>
              </w:rPr>
              <w:t xml:space="preserve">texts that include aspects of </w:t>
            </w:r>
            <w:r w:rsidRPr="00D70E46">
              <w:rPr>
                <w:rFonts w:ascii="ArialMT" w:eastAsiaTheme="minorHAnsi" w:hAnsi="ArialMT" w:cs="ArialMT"/>
                <w:b/>
                <w:sz w:val="14"/>
                <w:szCs w:val="14"/>
              </w:rPr>
              <w:t>environmental and social sustainability</w:t>
            </w:r>
          </w:p>
        </w:tc>
      </w:tr>
      <w:tr w:rsidR="00FE5A94" w:rsidRPr="00D70E46" w:rsidTr="006101C7">
        <w:trPr>
          <w:trHeight w:val="383"/>
        </w:trPr>
        <w:tc>
          <w:tcPr>
            <w:tcW w:w="15418" w:type="dxa"/>
            <w:gridSpan w:val="12"/>
          </w:tcPr>
          <w:p w:rsidR="00FE5A94" w:rsidRPr="00D70E46" w:rsidRDefault="00FE5A94" w:rsidP="006101C7">
            <w:pPr>
              <w:autoSpaceDE w:val="0"/>
              <w:autoSpaceDN w:val="0"/>
              <w:adjustRightInd w:val="0"/>
              <w:jc w:val="center"/>
              <w:rPr>
                <w:rFonts w:ascii="ArialMT" w:eastAsiaTheme="minorHAnsi" w:hAnsi="ArialMT" w:cs="ArialMT"/>
                <w:sz w:val="16"/>
                <w:szCs w:val="16"/>
              </w:rPr>
            </w:pP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Key: 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 xml:space="preserve">M 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>= i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  <w:u w:val="single"/>
              </w:rPr>
              <w:t>m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aginative texts  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>N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 = i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  <w:u w:val="single"/>
              </w:rPr>
              <w:t>n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formative texts  </w:t>
            </w:r>
            <w:r w:rsidRPr="00D70E46">
              <w:rPr>
                <w:rFonts w:ascii="ArialMT" w:eastAsiaTheme="minorHAnsi" w:hAnsi="ArialMT" w:cs="ArialMT"/>
                <w:b/>
                <w:sz w:val="16"/>
                <w:szCs w:val="16"/>
              </w:rPr>
              <w:t xml:space="preserve">P 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 xml:space="preserve">= 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  <w:u w:val="single"/>
              </w:rPr>
              <w:t>p</w:t>
            </w:r>
            <w:r w:rsidRPr="00D70E46">
              <w:rPr>
                <w:rFonts w:ascii="ArialMT" w:eastAsiaTheme="minorHAnsi" w:hAnsi="ArialMT" w:cs="ArialMT"/>
                <w:sz w:val="16"/>
                <w:szCs w:val="16"/>
              </w:rPr>
              <w:t>ersuasive texts</w:t>
            </w:r>
          </w:p>
        </w:tc>
      </w:tr>
    </w:tbl>
    <w:p w:rsidR="001E47DB" w:rsidRDefault="001E47DB">
      <w:bookmarkStart w:id="0" w:name="_GoBack"/>
      <w:bookmarkEnd w:id="0"/>
    </w:p>
    <w:sectPr w:rsidR="001E47DB" w:rsidSect="00FE5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94"/>
    <w:rsid w:val="001E47DB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tNsS6onnv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da6CnUTX4U&amp;feature=player_embedd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a0p8ygfQM" TargetMode="External"/><Relationship Id="rId5" Type="http://schemas.openxmlformats.org/officeDocument/2006/relationships/hyperlink" Target="http://en.wikipedia.org/wiki/David_Wiesn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Lisa</dc:creator>
  <cp:lastModifiedBy>Mansfield, Lisa</cp:lastModifiedBy>
  <cp:revision>1</cp:revision>
  <dcterms:created xsi:type="dcterms:W3CDTF">2015-02-04T03:34:00Z</dcterms:created>
  <dcterms:modified xsi:type="dcterms:W3CDTF">2015-02-04T03:35:00Z</dcterms:modified>
</cp:coreProperties>
</file>